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DF" w:rsidRDefault="00802FDF" w:rsidP="0095712E">
      <w:pPr>
        <w:pStyle w:val="NormalWeb"/>
        <w:shd w:val="clear" w:color="auto" w:fill="FFFFFF"/>
        <w:spacing w:before="0" w:beforeAutospacing="0" w:after="0" w:afterAutospacing="0"/>
        <w:jc w:val="both"/>
        <w:rPr>
          <w:rFonts w:asciiTheme="minorHAnsi" w:hAnsiTheme="minorHAnsi" w:cstheme="minorHAnsi"/>
          <w:color w:val="454547"/>
          <w:shd w:val="clear" w:color="auto" w:fill="FFFFFF"/>
        </w:rPr>
      </w:pPr>
    </w:p>
    <w:p w:rsidR="00802FDF" w:rsidRPr="00E42F9B" w:rsidRDefault="00802FDF" w:rsidP="00802FDF">
      <w:pPr>
        <w:pStyle w:val="NormalWeb"/>
        <w:shd w:val="clear" w:color="auto" w:fill="FFFFFF"/>
        <w:spacing w:before="0" w:beforeAutospacing="0" w:after="0" w:afterAutospacing="0"/>
        <w:jc w:val="both"/>
        <w:rPr>
          <w:rFonts w:asciiTheme="minorHAnsi" w:hAnsiTheme="minorHAnsi" w:cstheme="minorHAnsi"/>
          <w:color w:val="454547"/>
          <w:sz w:val="36"/>
          <w:szCs w:val="36"/>
          <w:shd w:val="clear" w:color="auto" w:fill="FFFFFF"/>
        </w:rPr>
      </w:pPr>
      <w:r w:rsidRPr="00E42F9B">
        <w:rPr>
          <w:rFonts w:asciiTheme="minorHAnsi" w:hAnsiTheme="minorHAnsi" w:cstheme="minorHAnsi"/>
          <w:b/>
          <w:bCs/>
          <w:color w:val="454547"/>
          <w:sz w:val="36"/>
          <w:szCs w:val="36"/>
          <w:shd w:val="clear" w:color="auto" w:fill="FFFFFF"/>
        </w:rPr>
        <w:t>Construction of 2 multi-purpose</w:t>
      </w:r>
      <w:r w:rsidRPr="00E42F9B">
        <w:rPr>
          <w:rFonts w:asciiTheme="minorHAnsi" w:hAnsiTheme="minorHAnsi" w:cstheme="minorHAnsi"/>
          <w:color w:val="454547"/>
          <w:sz w:val="36"/>
          <w:szCs w:val="36"/>
          <w:shd w:val="clear" w:color="auto" w:fill="FFFFFF"/>
        </w:rPr>
        <w:t xml:space="preserve"> </w:t>
      </w:r>
      <w:r w:rsidRPr="00E42F9B">
        <w:rPr>
          <w:rFonts w:asciiTheme="minorHAnsi" w:hAnsiTheme="minorHAnsi" w:cstheme="minorHAnsi"/>
          <w:b/>
          <w:bCs/>
          <w:color w:val="454547"/>
          <w:sz w:val="36"/>
          <w:szCs w:val="36"/>
          <w:shd w:val="clear" w:color="auto" w:fill="FFFFFF"/>
        </w:rPr>
        <w:t>Community Centers</w:t>
      </w:r>
      <w:bookmarkStart w:id="0" w:name="_GoBack"/>
      <w:bookmarkEnd w:id="0"/>
    </w:p>
    <w:p w:rsidR="00802FDF" w:rsidRDefault="00802FDF" w:rsidP="0095712E">
      <w:pPr>
        <w:pStyle w:val="NormalWeb"/>
        <w:shd w:val="clear" w:color="auto" w:fill="FFFFFF"/>
        <w:spacing w:before="0" w:beforeAutospacing="0" w:after="0" w:afterAutospacing="0"/>
        <w:jc w:val="both"/>
        <w:rPr>
          <w:rFonts w:asciiTheme="minorHAnsi" w:hAnsiTheme="minorHAnsi" w:cstheme="minorHAnsi"/>
          <w:color w:val="454547"/>
          <w:shd w:val="clear" w:color="auto" w:fill="FFFFFF"/>
        </w:rPr>
      </w:pPr>
    </w:p>
    <w:p w:rsidR="0095712E" w:rsidRPr="0095712E" w:rsidRDefault="0095712E" w:rsidP="0095712E">
      <w:pPr>
        <w:pStyle w:val="NormalWeb"/>
        <w:shd w:val="clear" w:color="auto" w:fill="FFFFFF"/>
        <w:spacing w:before="0" w:beforeAutospacing="0" w:after="0" w:afterAutospacing="0"/>
        <w:jc w:val="both"/>
        <w:rPr>
          <w:rFonts w:asciiTheme="minorHAnsi" w:hAnsiTheme="minorHAnsi" w:cstheme="minorHAnsi"/>
          <w:color w:val="454547"/>
        </w:rPr>
      </w:pPr>
      <w:r w:rsidRPr="0095712E">
        <w:rPr>
          <w:rFonts w:asciiTheme="minorHAnsi" w:hAnsiTheme="minorHAnsi" w:cstheme="minorHAnsi"/>
          <w:color w:val="454547"/>
          <w:shd w:val="clear" w:color="auto" w:fill="FFFFFF"/>
        </w:rPr>
        <w:t>Addition for Disasters assistance and Development is a Sundae's humanitarian and development organization established in 2016. With a position in Sudan, ADD has a long history of providing emergency humanitarian assistance focusing on Health, General Protection, Child Protection, GBV, Food Security and Livelihoods, WASH, Education, Emergency and shelter/NFIs. In addition to provision of emergency and humanitarian assistance,</w:t>
      </w:r>
    </w:p>
    <w:p w:rsidR="0095712E" w:rsidRPr="0095712E" w:rsidRDefault="0095712E" w:rsidP="0095712E">
      <w:pPr>
        <w:pStyle w:val="NormalWeb"/>
        <w:shd w:val="clear" w:color="auto" w:fill="FFFFFF"/>
        <w:spacing w:before="0" w:beforeAutospacing="0" w:after="0" w:afterAutospacing="0"/>
        <w:jc w:val="both"/>
        <w:rPr>
          <w:rFonts w:asciiTheme="minorHAnsi" w:hAnsiTheme="minorHAnsi" w:cstheme="minorHAnsi"/>
          <w:color w:val="454547"/>
        </w:rPr>
      </w:pPr>
      <w:r w:rsidRPr="0095712E">
        <w:rPr>
          <w:rFonts w:asciiTheme="minorHAnsi" w:hAnsiTheme="minorHAnsi" w:cstheme="minorHAnsi"/>
          <w:color w:val="454547"/>
          <w:shd w:val="clear" w:color="auto" w:fill="FFFFFF"/>
        </w:rPr>
        <w:t xml:space="preserve">ADD is committed to contribute to eliminating poverty, address gender inequality, empowerment of women, girls and boys, and transform unequal power </w:t>
      </w:r>
      <w:r>
        <w:rPr>
          <w:rFonts w:asciiTheme="minorHAnsi" w:hAnsiTheme="minorHAnsi" w:cstheme="minorHAnsi"/>
          <w:color w:val="454547"/>
          <w:shd w:val="clear" w:color="auto" w:fill="FFFFFF"/>
        </w:rPr>
        <w:t>relationships</w:t>
      </w:r>
      <w:r w:rsidRPr="0095712E">
        <w:rPr>
          <w:rFonts w:asciiTheme="minorHAnsi" w:hAnsiTheme="minorHAnsi" w:cstheme="minorHAnsi"/>
          <w:color w:val="454547"/>
          <w:shd w:val="clear" w:color="auto" w:fill="FFFFFF"/>
        </w:rPr>
        <w:t>. </w:t>
      </w:r>
    </w:p>
    <w:p w:rsidR="0095712E" w:rsidRDefault="0095712E" w:rsidP="0095712E">
      <w:pPr>
        <w:pStyle w:val="NormalWeb"/>
        <w:shd w:val="clear" w:color="auto" w:fill="FFFFFF"/>
        <w:spacing w:before="0" w:beforeAutospacing="0" w:after="0" w:afterAutospacing="0"/>
        <w:jc w:val="both"/>
        <w:rPr>
          <w:rFonts w:asciiTheme="minorHAnsi" w:hAnsiTheme="minorHAnsi" w:cstheme="minorHAnsi"/>
          <w:color w:val="454547"/>
          <w:shd w:val="clear" w:color="auto" w:fill="FFFFFF"/>
        </w:rPr>
      </w:pPr>
      <w:r w:rsidRPr="0095712E">
        <w:rPr>
          <w:rFonts w:asciiTheme="minorHAnsi" w:hAnsiTheme="minorHAnsi" w:cstheme="minorHAnsi"/>
          <w:color w:val="454547"/>
          <w:shd w:val="clear" w:color="auto" w:fill="FFFFFF"/>
        </w:rPr>
        <w:t>ADD has been a major humanitarian actor in delivering emergency response during the ongoing war in Sudan.</w:t>
      </w:r>
    </w:p>
    <w:p w:rsidR="0095712E" w:rsidRPr="0095712E" w:rsidRDefault="0095712E" w:rsidP="0095712E">
      <w:pPr>
        <w:pStyle w:val="NormalWeb"/>
        <w:shd w:val="clear" w:color="auto" w:fill="FFFFFF"/>
        <w:spacing w:before="0" w:beforeAutospacing="0" w:after="0" w:afterAutospacing="0"/>
        <w:jc w:val="both"/>
        <w:rPr>
          <w:rFonts w:asciiTheme="minorHAnsi" w:hAnsiTheme="minorHAnsi" w:cstheme="minorHAnsi"/>
          <w:color w:val="454547"/>
          <w:shd w:val="clear" w:color="auto" w:fill="FFFFFF"/>
        </w:rPr>
      </w:pPr>
      <w:r w:rsidRPr="0095712E">
        <w:rPr>
          <w:rFonts w:asciiTheme="minorHAnsi" w:hAnsiTheme="minorHAnsi" w:cstheme="minorHAnsi"/>
          <w:color w:val="454547"/>
          <w:shd w:val="clear" w:color="auto" w:fill="FFFFFF"/>
        </w:rPr>
        <w:t xml:space="preserve">ADD is looking for qualified Contractors to construct two multi-purpose community </w:t>
      </w:r>
      <w:proofErr w:type="spellStart"/>
      <w:r w:rsidRPr="0095712E">
        <w:rPr>
          <w:rFonts w:asciiTheme="minorHAnsi" w:hAnsiTheme="minorHAnsi" w:cstheme="minorHAnsi"/>
          <w:color w:val="454547"/>
          <w:shd w:val="clear" w:color="auto" w:fill="FFFFFF"/>
        </w:rPr>
        <w:t>centres</w:t>
      </w:r>
      <w:proofErr w:type="spellEnd"/>
      <w:r w:rsidRPr="0095712E">
        <w:rPr>
          <w:rFonts w:asciiTheme="minorHAnsi" w:hAnsiTheme="minorHAnsi" w:cstheme="minorHAnsi"/>
          <w:color w:val="454547"/>
          <w:shd w:val="clear" w:color="auto" w:fill="FFFFFF"/>
        </w:rPr>
        <w:t xml:space="preserve"> at </w:t>
      </w:r>
      <w:proofErr w:type="spellStart"/>
      <w:r w:rsidRPr="0095712E">
        <w:rPr>
          <w:rFonts w:asciiTheme="minorHAnsi" w:hAnsiTheme="minorHAnsi" w:cstheme="minorHAnsi"/>
          <w:color w:val="454547"/>
          <w:shd w:val="clear" w:color="auto" w:fill="FFFFFF"/>
        </w:rPr>
        <w:t>Sennar</w:t>
      </w:r>
      <w:proofErr w:type="spellEnd"/>
      <w:r w:rsidRPr="0095712E">
        <w:rPr>
          <w:rFonts w:asciiTheme="minorHAnsi" w:hAnsiTheme="minorHAnsi" w:cstheme="minorHAnsi"/>
          <w:color w:val="454547"/>
          <w:shd w:val="clear" w:color="auto" w:fill="FFFFFF"/>
        </w:rPr>
        <w:t xml:space="preserve"> State. </w:t>
      </w:r>
    </w:p>
    <w:p w:rsidR="0095712E" w:rsidRDefault="0095712E" w:rsidP="0095712E">
      <w:pPr>
        <w:pStyle w:val="NormalWeb"/>
        <w:shd w:val="clear" w:color="auto" w:fill="FFFFFF"/>
        <w:spacing w:before="0" w:beforeAutospacing="0" w:after="0" w:afterAutospacing="0"/>
        <w:jc w:val="both"/>
        <w:rPr>
          <w:rFonts w:asciiTheme="minorHAnsi" w:hAnsiTheme="minorHAnsi" w:cstheme="minorHAnsi"/>
          <w:color w:val="454547"/>
          <w:shd w:val="clear" w:color="auto" w:fill="FFFFFF"/>
        </w:rPr>
      </w:pPr>
      <w:r w:rsidRPr="0095712E">
        <w:rPr>
          <w:rFonts w:asciiTheme="minorHAnsi" w:hAnsiTheme="minorHAnsi" w:cstheme="minorHAnsi"/>
          <w:color w:val="454547"/>
          <w:shd w:val="clear" w:color="auto" w:fill="FFFFFF"/>
        </w:rPr>
        <w:t xml:space="preserve">The contractor must adhere to ADD Terms and Conditions and policies. </w:t>
      </w:r>
    </w:p>
    <w:p w:rsidR="0095712E" w:rsidRPr="00E42F9B" w:rsidRDefault="0095712E" w:rsidP="0095712E">
      <w:pPr>
        <w:pStyle w:val="NormalWeb"/>
        <w:shd w:val="clear" w:color="auto" w:fill="FFFFFF"/>
        <w:spacing w:before="0" w:beforeAutospacing="0" w:after="0" w:afterAutospacing="0"/>
        <w:jc w:val="both"/>
        <w:rPr>
          <w:rFonts w:asciiTheme="minorHAnsi" w:hAnsiTheme="minorHAnsi" w:cstheme="minorHAnsi"/>
          <w:b/>
          <w:bCs/>
          <w:color w:val="454547"/>
          <w:shd w:val="clear" w:color="auto" w:fill="FFFFFF"/>
        </w:rPr>
      </w:pPr>
      <w:r w:rsidRPr="0095712E">
        <w:rPr>
          <w:rFonts w:asciiTheme="minorHAnsi" w:hAnsiTheme="minorHAnsi" w:cstheme="minorHAnsi"/>
          <w:color w:val="454547"/>
          <w:shd w:val="clear" w:color="auto" w:fill="FFFFFF"/>
        </w:rPr>
        <w:t xml:space="preserve"> </w:t>
      </w:r>
      <w:r w:rsidRPr="00E42F9B">
        <w:rPr>
          <w:rFonts w:asciiTheme="minorHAnsi" w:hAnsiTheme="minorHAnsi" w:cstheme="minorHAnsi"/>
          <w:b/>
          <w:bCs/>
          <w:color w:val="454547"/>
          <w:shd w:val="clear" w:color="auto" w:fill="FFFFFF"/>
        </w:rPr>
        <w:t xml:space="preserve">Bidder shall submit sealed bids addressed to: </w:t>
      </w:r>
    </w:p>
    <w:p w:rsidR="0095712E" w:rsidRPr="0095712E" w:rsidRDefault="0095712E" w:rsidP="0095712E">
      <w:pPr>
        <w:pStyle w:val="NormalWeb"/>
        <w:numPr>
          <w:ilvl w:val="0"/>
          <w:numId w:val="1"/>
        </w:numPr>
        <w:shd w:val="clear" w:color="auto" w:fill="FFFFFF"/>
        <w:spacing w:before="0" w:beforeAutospacing="0" w:after="0" w:afterAutospacing="0"/>
        <w:jc w:val="both"/>
        <w:rPr>
          <w:rFonts w:asciiTheme="minorHAnsi" w:hAnsiTheme="minorHAnsi" w:cstheme="minorHAnsi"/>
          <w:color w:val="454547"/>
          <w:shd w:val="clear" w:color="auto" w:fill="FFFFFF"/>
        </w:rPr>
      </w:pPr>
      <w:r w:rsidRPr="0095712E">
        <w:rPr>
          <w:rFonts w:asciiTheme="minorHAnsi" w:hAnsiTheme="minorHAnsi" w:cstheme="minorHAnsi"/>
          <w:color w:val="454547"/>
          <w:shd w:val="clear" w:color="auto" w:fill="FFFFFF"/>
        </w:rPr>
        <w:t xml:space="preserve">The Procurement Committee ADD </w:t>
      </w:r>
    </w:p>
    <w:p w:rsidR="0095712E" w:rsidRPr="0095712E" w:rsidRDefault="0095712E" w:rsidP="0095712E">
      <w:pPr>
        <w:pStyle w:val="NormalWeb"/>
        <w:numPr>
          <w:ilvl w:val="0"/>
          <w:numId w:val="1"/>
        </w:numPr>
        <w:shd w:val="clear" w:color="auto" w:fill="FFFFFF"/>
        <w:spacing w:before="0" w:beforeAutospacing="0" w:after="0" w:afterAutospacing="0"/>
        <w:jc w:val="both"/>
        <w:rPr>
          <w:rFonts w:asciiTheme="minorHAnsi" w:hAnsiTheme="minorHAnsi" w:cstheme="minorHAnsi"/>
          <w:color w:val="454547"/>
          <w:shd w:val="clear" w:color="auto" w:fill="FFFFFF"/>
        </w:rPr>
      </w:pPr>
      <w:r w:rsidRPr="0095712E">
        <w:rPr>
          <w:rFonts w:asciiTheme="minorHAnsi" w:hAnsiTheme="minorHAnsi" w:cstheme="minorHAnsi"/>
          <w:color w:val="454547"/>
          <w:shd w:val="clear" w:color="auto" w:fill="FFFFFF"/>
        </w:rPr>
        <w:t>All bids shall be submitted before 4:00 pm on the 28th June 2025, Sudan time.</w:t>
      </w:r>
      <w:r>
        <w:rPr>
          <w:rFonts w:asciiTheme="minorHAnsi" w:hAnsiTheme="minorHAnsi" w:cstheme="minorHAnsi"/>
          <w:color w:val="454547"/>
          <w:shd w:val="clear" w:color="auto" w:fill="FFFFFF"/>
        </w:rPr>
        <w:t xml:space="preserve"> </w:t>
      </w:r>
      <w:r w:rsidRPr="0095712E">
        <w:rPr>
          <w:rFonts w:asciiTheme="minorHAnsi" w:hAnsiTheme="minorHAnsi" w:cstheme="minorHAnsi"/>
          <w:color w:val="454547"/>
          <w:shd w:val="clear" w:color="auto" w:fill="FFFFFF"/>
        </w:rPr>
        <w:t>Send your completed documents to the following email</w:t>
      </w:r>
      <w:r w:rsidR="00802FDF">
        <w:rPr>
          <w:rFonts w:asciiTheme="minorHAnsi" w:hAnsiTheme="minorHAnsi" w:cstheme="minorHAnsi"/>
          <w:color w:val="454547"/>
          <w:shd w:val="clear" w:color="auto" w:fill="FFFFFF"/>
        </w:rPr>
        <w:t xml:space="preserve">: </w:t>
      </w:r>
      <w:hyperlink r:id="rId5" w:history="1">
        <w:r w:rsidR="00802FDF" w:rsidRPr="00B94E55">
          <w:rPr>
            <w:rStyle w:val="Hyperlink"/>
            <w:rFonts w:ascii="Arial" w:hAnsi="Arial" w:cs="Arial"/>
            <w:shd w:val="clear" w:color="auto" w:fill="FFFFFF"/>
          </w:rPr>
          <w:t>add-tender@addorg.org</w:t>
        </w:r>
      </w:hyperlink>
      <w:r w:rsidR="00802FDF">
        <w:rPr>
          <w:rFonts w:ascii="Arial" w:hAnsi="Arial" w:cs="Arial"/>
          <w:color w:val="454547"/>
          <w:shd w:val="clear" w:color="auto" w:fill="FFFFFF"/>
        </w:rPr>
        <w:t xml:space="preserve"> and </w:t>
      </w:r>
      <w:r w:rsidR="00802FDF" w:rsidRPr="00802FDF">
        <w:rPr>
          <w:rStyle w:val="Hyperlink"/>
        </w:rPr>
        <w:t xml:space="preserve">Cc </w:t>
      </w:r>
      <w:hyperlink r:id="rId6" w:history="1">
        <w:r w:rsidR="00802FDF" w:rsidRPr="00802FDF">
          <w:rPr>
            <w:rStyle w:val="Hyperlink"/>
            <w:rFonts w:ascii="Arial" w:hAnsi="Arial" w:cs="Arial"/>
            <w:shd w:val="clear" w:color="auto" w:fill="FFFFFF"/>
          </w:rPr>
          <w:t>finoff_hq@addorg.org</w:t>
        </w:r>
      </w:hyperlink>
    </w:p>
    <w:p w:rsidR="00802FDF" w:rsidRPr="00802FDF" w:rsidRDefault="00802FDF" w:rsidP="00802FDF">
      <w:pPr>
        <w:rPr>
          <w:rFonts w:cstheme="minorHAnsi"/>
          <w:b/>
          <w:bCs/>
          <w:color w:val="454547"/>
          <w:shd w:val="clear" w:color="auto" w:fill="FFFFFF"/>
        </w:rPr>
      </w:pPr>
      <w:r w:rsidRPr="00802FDF">
        <w:rPr>
          <w:rFonts w:cstheme="minorHAnsi"/>
        </w:rPr>
        <w:t xml:space="preserve"> </w:t>
      </w:r>
      <w:r w:rsidRPr="00802FDF">
        <w:rPr>
          <w:rFonts w:cstheme="minorHAnsi"/>
          <w:b/>
          <w:bCs/>
          <w:color w:val="454547"/>
          <w:shd w:val="clear" w:color="auto" w:fill="FFFFFF"/>
        </w:rPr>
        <w:t>General Requirements</w:t>
      </w:r>
    </w:p>
    <w:p w:rsidR="00802FDF" w:rsidRPr="00802FDF" w:rsidRDefault="00802FDF" w:rsidP="00802FDF">
      <w:pPr>
        <w:pStyle w:val="NormalWeb"/>
        <w:numPr>
          <w:ilvl w:val="0"/>
          <w:numId w:val="2"/>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 xml:space="preserve">All eligible construction companies and contractors that are qualified and are technically competent for the provision of services as specified in Annexes are invited to submit their proposals. </w:t>
      </w:r>
    </w:p>
    <w:p w:rsidR="00802FDF" w:rsidRPr="00802FDF" w:rsidRDefault="00802FDF" w:rsidP="00802FDF">
      <w:pPr>
        <w:pStyle w:val="NormalWeb"/>
        <w:numPr>
          <w:ilvl w:val="0"/>
          <w:numId w:val="2"/>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 xml:space="preserve">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 </w:t>
      </w:r>
    </w:p>
    <w:p w:rsidR="00802FDF" w:rsidRPr="00802FDF" w:rsidRDefault="00802FDF" w:rsidP="00802FDF">
      <w:pPr>
        <w:pStyle w:val="NormalWeb"/>
        <w:numPr>
          <w:ilvl w:val="0"/>
          <w:numId w:val="2"/>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The Bidder shall be responsible for all costs associated with the preparation and submission of its bid, and ADD will no case be responsible or liable for those costs, regardless of the conduct or outcome of the bidding process.</w:t>
      </w:r>
    </w:p>
    <w:p w:rsidR="00802FDF" w:rsidRPr="00802FDF" w:rsidRDefault="00802FDF" w:rsidP="00802FDF">
      <w:pPr>
        <w:pStyle w:val="NormalWeb"/>
        <w:numPr>
          <w:ilvl w:val="0"/>
          <w:numId w:val="2"/>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Each offer shall be valid for the period of 30 days from its date of submission.</w:t>
      </w:r>
    </w:p>
    <w:p w:rsidR="00802FDF" w:rsidRPr="00802FDF" w:rsidRDefault="00802FDF" w:rsidP="00802FDF">
      <w:pPr>
        <w:pStyle w:val="NormalWeb"/>
        <w:numPr>
          <w:ilvl w:val="0"/>
          <w:numId w:val="2"/>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All offers should indicate whether they include taxes, compulsory payments, levies and/or duties, including VAT, if applicable.</w:t>
      </w:r>
    </w:p>
    <w:p w:rsidR="003C5476" w:rsidRDefault="00802FDF" w:rsidP="00802FDF">
      <w:pPr>
        <w:pStyle w:val="NormalWeb"/>
        <w:numPr>
          <w:ilvl w:val="0"/>
          <w:numId w:val="2"/>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ADD reserves the right to reject any and all offers, if such action is considered to be in the best interest of ADD.</w:t>
      </w:r>
    </w:p>
    <w:p w:rsidR="00802FDF" w:rsidRPr="00802FDF" w:rsidRDefault="00802FDF" w:rsidP="00802FDF">
      <w:pPr>
        <w:pStyle w:val="NormalWeb"/>
        <w:shd w:val="clear" w:color="auto" w:fill="FFFFFF"/>
        <w:spacing w:before="0" w:beforeAutospacing="0" w:after="0" w:afterAutospacing="0"/>
        <w:jc w:val="both"/>
        <w:rPr>
          <w:rFonts w:asciiTheme="minorHAnsi" w:hAnsiTheme="minorHAnsi" w:cstheme="minorHAnsi"/>
          <w:b/>
          <w:bCs/>
          <w:color w:val="454547"/>
          <w:shd w:val="clear" w:color="auto" w:fill="FFFFFF"/>
        </w:rPr>
      </w:pPr>
      <w:r w:rsidRPr="00802FDF">
        <w:rPr>
          <w:rFonts w:asciiTheme="minorHAnsi" w:hAnsiTheme="minorHAnsi" w:cstheme="minorHAnsi"/>
          <w:b/>
          <w:bCs/>
          <w:color w:val="454547"/>
          <w:shd w:val="clear" w:color="auto" w:fill="FFFFFF"/>
        </w:rPr>
        <w:t>Evaluation Criteria:</w:t>
      </w:r>
    </w:p>
    <w:p w:rsidR="00802FDF" w:rsidRPr="00802FDF" w:rsidRDefault="00802FDF" w:rsidP="00802FDF">
      <w:pPr>
        <w:pStyle w:val="NormalWeb"/>
        <w:shd w:val="clear" w:color="auto" w:fill="FFFFFF"/>
        <w:spacing w:before="0" w:beforeAutospacing="0" w:after="0" w:afterAutospacing="0"/>
        <w:jc w:val="both"/>
        <w:rPr>
          <w:rFonts w:asciiTheme="minorHAnsi" w:hAnsiTheme="minorHAnsi" w:cstheme="minorHAnsi"/>
          <w:color w:val="454547"/>
          <w:shd w:val="clear" w:color="auto" w:fill="FFFFFF"/>
        </w:rPr>
      </w:pPr>
    </w:p>
    <w:p w:rsidR="00802FDF" w:rsidRPr="00802FDF" w:rsidRDefault="00802FDF" w:rsidP="00802FDF">
      <w:pPr>
        <w:pStyle w:val="NormalWeb"/>
        <w:numPr>
          <w:ilvl w:val="0"/>
          <w:numId w:val="3"/>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Compliance with specifications</w:t>
      </w:r>
    </w:p>
    <w:p w:rsidR="00802FDF" w:rsidRPr="00802FDF" w:rsidRDefault="00802FDF" w:rsidP="00802FDF">
      <w:pPr>
        <w:pStyle w:val="NormalWeb"/>
        <w:numPr>
          <w:ilvl w:val="0"/>
          <w:numId w:val="3"/>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Competitive pricing  30%</w:t>
      </w:r>
    </w:p>
    <w:p w:rsidR="00802FDF" w:rsidRPr="00802FDF" w:rsidRDefault="00802FDF" w:rsidP="00802FDF">
      <w:pPr>
        <w:pStyle w:val="NormalWeb"/>
        <w:numPr>
          <w:ilvl w:val="0"/>
          <w:numId w:val="3"/>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quality 40%</w:t>
      </w:r>
    </w:p>
    <w:p w:rsidR="00802FDF" w:rsidRPr="00802FDF" w:rsidRDefault="00802FDF" w:rsidP="00802FDF">
      <w:pPr>
        <w:pStyle w:val="NormalWeb"/>
        <w:numPr>
          <w:ilvl w:val="0"/>
          <w:numId w:val="3"/>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delivery time 20</w:t>
      </w:r>
    </w:p>
    <w:p w:rsidR="00802FDF" w:rsidRPr="00802FDF" w:rsidRDefault="00802FDF" w:rsidP="00802FDF">
      <w:pPr>
        <w:pStyle w:val="NormalWeb"/>
        <w:numPr>
          <w:ilvl w:val="0"/>
          <w:numId w:val="3"/>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Financial Capacity 10%</w:t>
      </w:r>
    </w:p>
    <w:p w:rsidR="00802FDF" w:rsidRPr="00802FDF" w:rsidRDefault="00802FDF" w:rsidP="00802FDF">
      <w:pPr>
        <w:pStyle w:val="NormalWeb"/>
        <w:shd w:val="clear" w:color="auto" w:fill="FFFFFF"/>
        <w:spacing w:before="0" w:beforeAutospacing="0" w:after="0" w:afterAutospacing="0"/>
        <w:jc w:val="both"/>
        <w:rPr>
          <w:rFonts w:asciiTheme="minorHAnsi" w:hAnsiTheme="minorHAnsi" w:cstheme="minorHAnsi"/>
          <w:b/>
          <w:bCs/>
          <w:color w:val="454547"/>
          <w:shd w:val="clear" w:color="auto" w:fill="FFFFFF"/>
        </w:rPr>
      </w:pPr>
      <w:r w:rsidRPr="00802FDF">
        <w:rPr>
          <w:rFonts w:asciiTheme="minorHAnsi" w:hAnsiTheme="minorHAnsi" w:cstheme="minorHAnsi"/>
          <w:b/>
          <w:bCs/>
          <w:color w:val="454547"/>
          <w:shd w:val="clear" w:color="auto" w:fill="FFFFFF"/>
        </w:rPr>
        <w:t>Note:</w:t>
      </w:r>
    </w:p>
    <w:p w:rsidR="00802FDF" w:rsidRPr="00802FDF" w:rsidRDefault="00802FDF" w:rsidP="00802FDF">
      <w:pPr>
        <w:pStyle w:val="NormalWeb"/>
        <w:shd w:val="clear" w:color="auto" w:fill="FFFFFF"/>
        <w:spacing w:before="0" w:beforeAutospacing="0" w:after="0" w:afterAutospacing="0"/>
        <w:jc w:val="both"/>
        <w:rPr>
          <w:rFonts w:asciiTheme="minorHAnsi" w:hAnsiTheme="minorHAnsi" w:cstheme="minorHAnsi"/>
          <w:color w:val="454547"/>
          <w:shd w:val="clear" w:color="auto" w:fill="FFFFFF"/>
        </w:rPr>
      </w:pPr>
    </w:p>
    <w:p w:rsidR="00802FDF" w:rsidRPr="00802FDF" w:rsidRDefault="00802FDF" w:rsidP="00802FDF">
      <w:pPr>
        <w:pStyle w:val="NormalWeb"/>
        <w:numPr>
          <w:ilvl w:val="0"/>
          <w:numId w:val="4"/>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At any time prior to the deadline for submission of tenders, ADD, for any reason, whether at its own initiative or in response to a clarification requested by prospective firms, may modify the tender documents by issuing an addendum.</w:t>
      </w:r>
    </w:p>
    <w:p w:rsidR="00802FDF" w:rsidRPr="00802FDF" w:rsidRDefault="00802FDF" w:rsidP="00802FDF">
      <w:pPr>
        <w:pStyle w:val="NormalWeb"/>
        <w:numPr>
          <w:ilvl w:val="0"/>
          <w:numId w:val="4"/>
        </w:numPr>
        <w:shd w:val="clear" w:color="auto" w:fill="FFFFFF"/>
        <w:spacing w:before="0" w:beforeAutospacing="0" w:after="0" w:afterAutospacing="0"/>
        <w:jc w:val="both"/>
        <w:rPr>
          <w:rFonts w:asciiTheme="minorHAnsi" w:hAnsiTheme="minorHAnsi" w:cstheme="minorHAnsi"/>
          <w:color w:val="454547"/>
          <w:shd w:val="clear" w:color="auto" w:fill="FFFFFF"/>
        </w:rPr>
      </w:pPr>
      <w:r w:rsidRPr="00802FDF">
        <w:rPr>
          <w:rFonts w:asciiTheme="minorHAnsi" w:hAnsiTheme="minorHAnsi" w:cstheme="minorHAnsi"/>
          <w:color w:val="454547"/>
          <w:shd w:val="clear" w:color="auto" w:fill="FFFFFF"/>
        </w:rPr>
        <w:t>In order to allow prospective firms reasonable time within which to take the amendment into account in preparing their tenders, ADD, at its discretion, may decide to extend the deadline for the submission of tenders.</w:t>
      </w:r>
    </w:p>
    <w:sectPr w:rsidR="00802FDF" w:rsidRPr="00802FDF" w:rsidSect="009571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358"/>
    <w:multiLevelType w:val="hybridMultilevel"/>
    <w:tmpl w:val="B586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07147"/>
    <w:multiLevelType w:val="hybridMultilevel"/>
    <w:tmpl w:val="1DE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21072"/>
    <w:multiLevelType w:val="hybridMultilevel"/>
    <w:tmpl w:val="1B3C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85E79"/>
    <w:multiLevelType w:val="hybridMultilevel"/>
    <w:tmpl w:val="32C2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2E"/>
    <w:rsid w:val="000C0A0E"/>
    <w:rsid w:val="003C5476"/>
    <w:rsid w:val="00802FDF"/>
    <w:rsid w:val="0095712E"/>
    <w:rsid w:val="00E42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AA5B4-CD14-473C-8276-CDD1F3B5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1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2FDF"/>
    <w:rPr>
      <w:color w:val="0563C1" w:themeColor="hyperlink"/>
      <w:u w:val="single"/>
    </w:rPr>
  </w:style>
  <w:style w:type="character" w:styleId="Strong">
    <w:name w:val="Strong"/>
    <w:basedOn w:val="DefaultParagraphFont"/>
    <w:uiPriority w:val="22"/>
    <w:qFormat/>
    <w:rsid w:val="00802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9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off_hq@addorg.org" TargetMode="External"/><Relationship Id="rId5" Type="http://schemas.openxmlformats.org/officeDocument/2006/relationships/hyperlink" Target="mailto:add-tender@addor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436</Words>
  <Characters>2495</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2025-06-24T08:52:00Z</dcterms:created>
  <dcterms:modified xsi:type="dcterms:W3CDTF">2025-06-24T09:58:00Z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b9c3003b-fb60-4190-9dae-ab28c3331f50</vt:lpwstr>
  </property>
</Properties>
</file>